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CD9F" w14:textId="77777777" w:rsidR="001F0AA2" w:rsidRDefault="001F0AA2" w:rsidP="001F0AA2">
      <w:pPr>
        <w:rPr>
          <w:b/>
          <w:bCs/>
        </w:rPr>
      </w:pPr>
      <w:r w:rsidRPr="001F0AA2">
        <w:rPr>
          <w:b/>
          <w:bCs/>
        </w:rPr>
        <w:t>Virginia Gay Hospital 2025 Implementation Strategy</w:t>
      </w:r>
    </w:p>
    <w:p w14:paraId="2FDC3F79" w14:textId="7A76A7C2" w:rsidR="00935648" w:rsidRPr="001F0AA2" w:rsidRDefault="00935648" w:rsidP="001F0AA2">
      <w:pPr>
        <w:rPr>
          <w:b/>
          <w:bCs/>
        </w:rPr>
      </w:pPr>
      <w:r w:rsidRPr="00935648">
        <w:rPr>
          <w:b/>
          <w:bCs/>
        </w:rPr>
        <w:t>BUILDING HEALTHIER COMMUNITIES</w:t>
      </w:r>
    </w:p>
    <w:p w14:paraId="319D80DE" w14:textId="0275421B" w:rsidR="001F0AA2" w:rsidRPr="001F0AA2" w:rsidRDefault="001F0AA2" w:rsidP="001F0AA2">
      <w:r w:rsidRPr="001F0AA2">
        <w:rPr>
          <w:b/>
          <w:bCs/>
        </w:rPr>
        <w:t>Introduction</w:t>
      </w:r>
      <w:r w:rsidRPr="001F0AA2">
        <w:br/>
        <w:t>Virginia Gay Hospital (VGH) has proudly served Benton County for over a century and remains a trusted leader in the community. Guided by the 2025 Community Health Needs Assessment (CHNA), VGH continues to build on ongoing efforts to improve local health outcomes. Our implementation strategy reflects the hospital’s dedication to responding to evolving community needs while maintaining a flexible, adaptive approach to health improvement. VGH leverages its trusted role, partnerships, and expertise to advance measurable progress in priority health areas. Benton County Public Health is also actively updating all county resources to strengthen local support networks.</w:t>
      </w:r>
    </w:p>
    <w:p w14:paraId="026587F0" w14:textId="77777777" w:rsidR="001F0AA2" w:rsidRPr="001F0AA2" w:rsidRDefault="001F0AA2" w:rsidP="001F0AA2">
      <w:pPr>
        <w:rPr>
          <w:b/>
          <w:bCs/>
        </w:rPr>
      </w:pPr>
      <w:r w:rsidRPr="001F0AA2">
        <w:rPr>
          <w:b/>
          <w:bCs/>
        </w:rPr>
        <w:t>2025 Health Priorities and Implementation Strategies</w:t>
      </w:r>
    </w:p>
    <w:p w14:paraId="0C1CBA03" w14:textId="77777777" w:rsidR="001F0AA2" w:rsidRPr="001F0AA2" w:rsidRDefault="001F0AA2" w:rsidP="001F0AA2">
      <w:pPr>
        <w:rPr>
          <w:b/>
          <w:bCs/>
        </w:rPr>
      </w:pPr>
      <w:r w:rsidRPr="001F0AA2">
        <w:rPr>
          <w:b/>
          <w:bCs/>
        </w:rPr>
        <w:t>1. Mental Health Access</w:t>
      </w:r>
    </w:p>
    <w:p w14:paraId="4518C4EE" w14:textId="77777777" w:rsidR="001F0AA2" w:rsidRPr="001F0AA2" w:rsidRDefault="001F0AA2" w:rsidP="001F0AA2">
      <w:r w:rsidRPr="001F0AA2">
        <w:rPr>
          <w:b/>
          <w:bCs/>
        </w:rPr>
        <w:t>Goal:</w:t>
      </w:r>
      <w:r w:rsidRPr="001F0AA2">
        <w:t xml:space="preserve"> Expand access to mental health services and promote early intervention, especially for youth, seniors, and underserved populations.</w:t>
      </w:r>
    </w:p>
    <w:p w14:paraId="6247C600" w14:textId="77777777" w:rsidR="001F0AA2" w:rsidRPr="001F0AA2" w:rsidRDefault="001F0AA2" w:rsidP="001F0AA2">
      <w:r w:rsidRPr="001F0AA2">
        <w:rPr>
          <w:b/>
          <w:bCs/>
        </w:rPr>
        <w:t>Strategies &amp; Actions:</w:t>
      </w:r>
    </w:p>
    <w:p w14:paraId="7683DFF7" w14:textId="77777777" w:rsidR="001F0AA2" w:rsidRPr="001F0AA2" w:rsidRDefault="001F0AA2" w:rsidP="001F0AA2">
      <w:pPr>
        <w:numPr>
          <w:ilvl w:val="0"/>
          <w:numId w:val="13"/>
        </w:numPr>
      </w:pPr>
      <w:r w:rsidRPr="001F0AA2">
        <w:t>Expand access through psychiatric mental health nurse practitioner support and therapy referrals.</w:t>
      </w:r>
    </w:p>
    <w:p w14:paraId="3C33EB23" w14:textId="77777777" w:rsidR="001F0AA2" w:rsidRPr="001F0AA2" w:rsidRDefault="001F0AA2" w:rsidP="001F0AA2">
      <w:pPr>
        <w:numPr>
          <w:ilvl w:val="0"/>
          <w:numId w:val="13"/>
        </w:numPr>
      </w:pPr>
      <w:r w:rsidRPr="001F0AA2">
        <w:t>Partner with local schools and the Abbe Center to increase awareness and early intervention.</w:t>
      </w:r>
    </w:p>
    <w:p w14:paraId="2ED0607A" w14:textId="77777777" w:rsidR="001F0AA2" w:rsidRPr="001F0AA2" w:rsidRDefault="001F0AA2" w:rsidP="001F0AA2">
      <w:pPr>
        <w:numPr>
          <w:ilvl w:val="0"/>
          <w:numId w:val="13"/>
        </w:numPr>
      </w:pPr>
      <w:r w:rsidRPr="001F0AA2">
        <w:t>Host educational workshops and community events to reduce stigma around mental health care.</w:t>
      </w:r>
    </w:p>
    <w:p w14:paraId="0B11FC18" w14:textId="77777777" w:rsidR="001F0AA2" w:rsidRPr="001F0AA2" w:rsidRDefault="001F0AA2" w:rsidP="001F0AA2">
      <w:pPr>
        <w:numPr>
          <w:ilvl w:val="0"/>
          <w:numId w:val="13"/>
        </w:numPr>
      </w:pPr>
      <w:r w:rsidRPr="001F0AA2">
        <w:t>Integrate mental health resources into primary care visits and preventive screenings.</w:t>
      </w:r>
    </w:p>
    <w:p w14:paraId="4C00DB0B" w14:textId="77777777" w:rsidR="001F0AA2" w:rsidRPr="001F0AA2" w:rsidRDefault="001F0AA2" w:rsidP="001F0AA2">
      <w:r w:rsidRPr="001F0AA2">
        <w:rPr>
          <w:b/>
          <w:bCs/>
        </w:rPr>
        <w:t>Measurable Outcomes:</w:t>
      </w:r>
    </w:p>
    <w:p w14:paraId="57E002EC" w14:textId="77777777" w:rsidR="001F0AA2" w:rsidRPr="001F0AA2" w:rsidRDefault="001F0AA2" w:rsidP="001F0AA2">
      <w:pPr>
        <w:numPr>
          <w:ilvl w:val="0"/>
          <w:numId w:val="14"/>
        </w:numPr>
      </w:pPr>
      <w:r w:rsidRPr="001F0AA2">
        <w:t>Increased mental health referrals and therapy participation.</w:t>
      </w:r>
    </w:p>
    <w:p w14:paraId="01A26C49" w14:textId="1C5F583B" w:rsidR="001F0AA2" w:rsidRPr="001F0AA2" w:rsidRDefault="001F0AA2" w:rsidP="001F0AA2">
      <w:pPr>
        <w:numPr>
          <w:ilvl w:val="0"/>
          <w:numId w:val="14"/>
        </w:numPr>
      </w:pPr>
      <w:r w:rsidRPr="001F0AA2">
        <w:t>Expanded community awareness and engagement through school and nonprofit partnerships.</w:t>
      </w:r>
    </w:p>
    <w:p w14:paraId="4F20E58A" w14:textId="77777777" w:rsidR="001F0AA2" w:rsidRPr="001F0AA2" w:rsidRDefault="001F0AA2" w:rsidP="001F0AA2">
      <w:pPr>
        <w:rPr>
          <w:b/>
          <w:bCs/>
        </w:rPr>
      </w:pPr>
      <w:r w:rsidRPr="001F0AA2">
        <w:rPr>
          <w:b/>
          <w:bCs/>
        </w:rPr>
        <w:t>2. Substance Use Prevention and Treatment</w:t>
      </w:r>
    </w:p>
    <w:p w14:paraId="3C12C1BD" w14:textId="77777777" w:rsidR="001F0AA2" w:rsidRPr="001F0AA2" w:rsidRDefault="001F0AA2" w:rsidP="001F0AA2">
      <w:r w:rsidRPr="001F0AA2">
        <w:rPr>
          <w:b/>
          <w:bCs/>
        </w:rPr>
        <w:t>Goal:</w:t>
      </w:r>
      <w:r w:rsidRPr="001F0AA2">
        <w:t xml:space="preserve"> Reduce substance use impacts and expand local treatment options.</w:t>
      </w:r>
    </w:p>
    <w:p w14:paraId="7966BE63" w14:textId="77777777" w:rsidR="001F0AA2" w:rsidRDefault="001F0AA2" w:rsidP="001F0AA2">
      <w:pPr>
        <w:rPr>
          <w:b/>
          <w:bCs/>
        </w:rPr>
      </w:pPr>
    </w:p>
    <w:p w14:paraId="369F5676" w14:textId="10C890C6" w:rsidR="001F0AA2" w:rsidRPr="001F0AA2" w:rsidRDefault="001F0AA2" w:rsidP="001F0AA2">
      <w:r w:rsidRPr="001F0AA2">
        <w:rPr>
          <w:b/>
          <w:bCs/>
        </w:rPr>
        <w:t>Strategies &amp; Actions:</w:t>
      </w:r>
    </w:p>
    <w:p w14:paraId="19C4CECD" w14:textId="4BD4004D" w:rsidR="001F0AA2" w:rsidRPr="001F0AA2" w:rsidRDefault="001F0AA2" w:rsidP="001F0AA2">
      <w:pPr>
        <w:numPr>
          <w:ilvl w:val="0"/>
          <w:numId w:val="15"/>
        </w:numPr>
      </w:pPr>
      <w:r w:rsidRPr="001F0AA2">
        <w:t xml:space="preserve">Launch a community opioid awareness campaign </w:t>
      </w:r>
      <w:r>
        <w:t>through active involvement and participation with the</w:t>
      </w:r>
      <w:r w:rsidRPr="001F0AA2">
        <w:t xml:space="preserve"> Benton County Opioid Taskforce.</w:t>
      </w:r>
    </w:p>
    <w:p w14:paraId="2E3E5176" w14:textId="77777777" w:rsidR="001F0AA2" w:rsidRPr="001F0AA2" w:rsidRDefault="001F0AA2" w:rsidP="001F0AA2">
      <w:pPr>
        <w:numPr>
          <w:ilvl w:val="0"/>
          <w:numId w:val="15"/>
        </w:numPr>
      </w:pPr>
      <w:r w:rsidRPr="001F0AA2">
        <w:t>Develop the Suboxone Outpatient Clinic (services to begin in 2026) to provide a local treatment option for opioid use disorder.</w:t>
      </w:r>
    </w:p>
    <w:p w14:paraId="27C7DE2E" w14:textId="43FD5680" w:rsidR="001F0AA2" w:rsidRPr="001F0AA2" w:rsidRDefault="001F0AA2" w:rsidP="001F0AA2">
      <w:pPr>
        <w:numPr>
          <w:ilvl w:val="0"/>
          <w:numId w:val="15"/>
        </w:numPr>
      </w:pPr>
      <w:r w:rsidRPr="001F0AA2">
        <w:t xml:space="preserve">Collaborate with </w:t>
      </w:r>
      <w:r>
        <w:t xml:space="preserve">Stepping up, </w:t>
      </w:r>
      <w:r w:rsidRPr="001F0AA2">
        <w:t xml:space="preserve">Above the Influence and ASAC to deliver substance use prevention education to </w:t>
      </w:r>
      <w:r w:rsidR="00CC5E4A">
        <w:t>all</w:t>
      </w:r>
      <w:r w:rsidRPr="001F0AA2">
        <w:t xml:space="preserve"> populations.</w:t>
      </w:r>
    </w:p>
    <w:p w14:paraId="39A35B09" w14:textId="77777777" w:rsidR="001F0AA2" w:rsidRPr="001F0AA2" w:rsidRDefault="001F0AA2" w:rsidP="001F0AA2">
      <w:pPr>
        <w:numPr>
          <w:ilvl w:val="0"/>
          <w:numId w:val="15"/>
        </w:numPr>
      </w:pPr>
      <w:r w:rsidRPr="001F0AA2">
        <w:t>Integrate substance use prevention into school, community, and clinic-based programming.</w:t>
      </w:r>
    </w:p>
    <w:p w14:paraId="4AE83752" w14:textId="77777777" w:rsidR="001F0AA2" w:rsidRPr="001F0AA2" w:rsidRDefault="001F0AA2" w:rsidP="001F0AA2">
      <w:r w:rsidRPr="001F0AA2">
        <w:rPr>
          <w:b/>
          <w:bCs/>
        </w:rPr>
        <w:t>Measurable Outcomes:</w:t>
      </w:r>
    </w:p>
    <w:p w14:paraId="499F1077" w14:textId="77777777" w:rsidR="001F0AA2" w:rsidRPr="001F0AA2" w:rsidRDefault="001F0AA2" w:rsidP="001F0AA2">
      <w:pPr>
        <w:numPr>
          <w:ilvl w:val="0"/>
          <w:numId w:val="16"/>
        </w:numPr>
      </w:pPr>
      <w:r w:rsidRPr="001F0AA2">
        <w:t>Expanded community education on opioid misuse and prevention.</w:t>
      </w:r>
    </w:p>
    <w:p w14:paraId="328348F3" w14:textId="5F12BB36" w:rsidR="001F0AA2" w:rsidRPr="001F0AA2" w:rsidRDefault="001F0AA2" w:rsidP="001F0AA2">
      <w:pPr>
        <w:numPr>
          <w:ilvl w:val="0"/>
          <w:numId w:val="16"/>
        </w:numPr>
      </w:pPr>
      <w:r w:rsidRPr="001F0AA2">
        <w:t>Increased access to local, evidence-based treatment options.</w:t>
      </w:r>
    </w:p>
    <w:p w14:paraId="7192666B" w14:textId="77777777" w:rsidR="001F0AA2" w:rsidRPr="001F0AA2" w:rsidRDefault="001F0AA2" w:rsidP="001F0AA2">
      <w:pPr>
        <w:rPr>
          <w:b/>
          <w:bCs/>
        </w:rPr>
      </w:pPr>
      <w:r w:rsidRPr="001F0AA2">
        <w:rPr>
          <w:b/>
          <w:bCs/>
        </w:rPr>
        <w:t>3. Chronic Disease Management</w:t>
      </w:r>
    </w:p>
    <w:p w14:paraId="18701667" w14:textId="77777777" w:rsidR="001F0AA2" w:rsidRPr="001F0AA2" w:rsidRDefault="001F0AA2" w:rsidP="001F0AA2">
      <w:r w:rsidRPr="001F0AA2">
        <w:rPr>
          <w:b/>
          <w:bCs/>
        </w:rPr>
        <w:t>Goal:</w:t>
      </w:r>
      <w:r w:rsidRPr="001F0AA2">
        <w:t xml:space="preserve"> Improve prevention, early detection, and management of chronic conditions, including diabetes, heart disease, and cancer.</w:t>
      </w:r>
    </w:p>
    <w:p w14:paraId="1F1826E4" w14:textId="77777777" w:rsidR="001F0AA2" w:rsidRPr="001F0AA2" w:rsidRDefault="001F0AA2" w:rsidP="001F0AA2">
      <w:r w:rsidRPr="001F0AA2">
        <w:rPr>
          <w:b/>
          <w:bCs/>
        </w:rPr>
        <w:t>Strategies &amp; Actions:</w:t>
      </w:r>
    </w:p>
    <w:p w14:paraId="7C98B884" w14:textId="77777777" w:rsidR="001F0AA2" w:rsidRPr="001F0AA2" w:rsidRDefault="001F0AA2" w:rsidP="001F0AA2">
      <w:pPr>
        <w:numPr>
          <w:ilvl w:val="0"/>
          <w:numId w:val="17"/>
        </w:numPr>
      </w:pPr>
      <w:r w:rsidRPr="001F0AA2">
        <w:t>Offer targeted education and screenings for diabetes, heart disease, and cancer.</w:t>
      </w:r>
    </w:p>
    <w:p w14:paraId="09EB88EE" w14:textId="77777777" w:rsidR="001F0AA2" w:rsidRPr="001F0AA2" w:rsidRDefault="001F0AA2" w:rsidP="001F0AA2">
      <w:pPr>
        <w:numPr>
          <w:ilvl w:val="0"/>
          <w:numId w:val="17"/>
        </w:numPr>
      </w:pPr>
      <w:r w:rsidRPr="001F0AA2">
        <w:t>Continue “Ladies Night Out” mammogram events and mobile outreach.</w:t>
      </w:r>
    </w:p>
    <w:p w14:paraId="2BF0D85F" w14:textId="77777777" w:rsidR="001F0AA2" w:rsidRPr="001F0AA2" w:rsidRDefault="001F0AA2" w:rsidP="001F0AA2">
      <w:pPr>
        <w:numPr>
          <w:ilvl w:val="0"/>
          <w:numId w:val="17"/>
        </w:numPr>
      </w:pPr>
      <w:r w:rsidRPr="001F0AA2">
        <w:t>Provide certified dietitian-led nutrition and diabetes counseling with individualized support.</w:t>
      </w:r>
    </w:p>
    <w:p w14:paraId="51A97A0B" w14:textId="77777777" w:rsidR="001F0AA2" w:rsidRPr="001F0AA2" w:rsidRDefault="001F0AA2" w:rsidP="001F0AA2">
      <w:pPr>
        <w:numPr>
          <w:ilvl w:val="0"/>
          <w:numId w:val="17"/>
        </w:numPr>
      </w:pPr>
      <w:r w:rsidRPr="001F0AA2">
        <w:t>Host a Community Health Fair with community partners and resources in March 2026.</w:t>
      </w:r>
    </w:p>
    <w:p w14:paraId="6DBBE769" w14:textId="77777777" w:rsidR="001F0AA2" w:rsidRPr="001F0AA2" w:rsidRDefault="001F0AA2" w:rsidP="001F0AA2">
      <w:pPr>
        <w:numPr>
          <w:ilvl w:val="0"/>
          <w:numId w:val="17"/>
        </w:numPr>
      </w:pPr>
      <w:r w:rsidRPr="001F0AA2">
        <w:t>Promote healthy lifestyles through preventive care and educational events, including community-based screenings and workshops.</w:t>
      </w:r>
    </w:p>
    <w:p w14:paraId="5CA9AB2B" w14:textId="77777777" w:rsidR="001F0AA2" w:rsidRPr="001F0AA2" w:rsidRDefault="001F0AA2" w:rsidP="001F0AA2">
      <w:r w:rsidRPr="001F0AA2">
        <w:rPr>
          <w:b/>
          <w:bCs/>
        </w:rPr>
        <w:t>Measurable Outcomes:</w:t>
      </w:r>
    </w:p>
    <w:p w14:paraId="74186C8E" w14:textId="77777777" w:rsidR="001F0AA2" w:rsidRPr="001F0AA2" w:rsidRDefault="001F0AA2" w:rsidP="001F0AA2">
      <w:pPr>
        <w:numPr>
          <w:ilvl w:val="0"/>
          <w:numId w:val="18"/>
        </w:numPr>
      </w:pPr>
      <w:r w:rsidRPr="001F0AA2">
        <w:t>Increased preventive screenings and early detection rates.</w:t>
      </w:r>
    </w:p>
    <w:p w14:paraId="68097EEA" w14:textId="77777777" w:rsidR="001F0AA2" w:rsidRPr="001F0AA2" w:rsidRDefault="001F0AA2" w:rsidP="001F0AA2">
      <w:pPr>
        <w:numPr>
          <w:ilvl w:val="0"/>
          <w:numId w:val="18"/>
        </w:numPr>
      </w:pPr>
      <w:r w:rsidRPr="001F0AA2">
        <w:t>Strengthened patient education and self-management support for chronic conditions.</w:t>
      </w:r>
    </w:p>
    <w:p w14:paraId="51740553" w14:textId="25B2FC13" w:rsidR="001F0AA2" w:rsidRPr="001F0AA2" w:rsidRDefault="001F0AA2" w:rsidP="001F0AA2">
      <w:pPr>
        <w:numPr>
          <w:ilvl w:val="0"/>
          <w:numId w:val="18"/>
        </w:numPr>
      </w:pPr>
      <w:r w:rsidRPr="001F0AA2">
        <w:lastRenderedPageBreak/>
        <w:t>Participation and attendance at community health events.</w:t>
      </w:r>
    </w:p>
    <w:p w14:paraId="6AFD1525" w14:textId="77777777" w:rsidR="001F0AA2" w:rsidRPr="001F0AA2" w:rsidRDefault="001F0AA2" w:rsidP="001F0AA2">
      <w:pPr>
        <w:rPr>
          <w:b/>
          <w:bCs/>
        </w:rPr>
      </w:pPr>
      <w:r w:rsidRPr="001F0AA2">
        <w:rPr>
          <w:b/>
          <w:bCs/>
        </w:rPr>
        <w:t>4. Addressing Social Determinants of Health</w:t>
      </w:r>
    </w:p>
    <w:p w14:paraId="0A211E09" w14:textId="77777777" w:rsidR="001F0AA2" w:rsidRPr="001F0AA2" w:rsidRDefault="001F0AA2" w:rsidP="001F0AA2">
      <w:r w:rsidRPr="001F0AA2">
        <w:rPr>
          <w:b/>
          <w:bCs/>
        </w:rPr>
        <w:t>Goal:</w:t>
      </w:r>
      <w:r w:rsidRPr="001F0AA2">
        <w:t xml:space="preserve"> Support community well-being by addressing barriers such as food insecurity, access to resources, and elder support.</w:t>
      </w:r>
    </w:p>
    <w:p w14:paraId="338A00D5" w14:textId="77777777" w:rsidR="001F0AA2" w:rsidRPr="001F0AA2" w:rsidRDefault="001F0AA2" w:rsidP="001F0AA2">
      <w:r w:rsidRPr="001F0AA2">
        <w:rPr>
          <w:b/>
          <w:bCs/>
        </w:rPr>
        <w:t>Strategies &amp; Actions:</w:t>
      </w:r>
    </w:p>
    <w:p w14:paraId="504EC2BF" w14:textId="0DD28943" w:rsidR="001F0AA2" w:rsidRPr="001F0AA2" w:rsidRDefault="00EE589A" w:rsidP="001F0AA2">
      <w:pPr>
        <w:numPr>
          <w:ilvl w:val="0"/>
          <w:numId w:val="19"/>
        </w:numPr>
      </w:pPr>
      <w:r>
        <w:t>Continue</w:t>
      </w:r>
      <w:r w:rsidR="001F0AA2" w:rsidRPr="001F0AA2">
        <w:t xml:space="preserve"> the Feeding America Program in partnership with HACAP, distributing nonperishable food boxes to families in need; explore fresh produce options.</w:t>
      </w:r>
    </w:p>
    <w:p w14:paraId="7891EB48" w14:textId="77777777" w:rsidR="001F0AA2" w:rsidRPr="001F0AA2" w:rsidRDefault="001F0AA2" w:rsidP="001F0AA2">
      <w:pPr>
        <w:numPr>
          <w:ilvl w:val="0"/>
          <w:numId w:val="19"/>
        </w:numPr>
      </w:pPr>
      <w:r w:rsidRPr="001F0AA2">
        <w:t>Host SHIIP Medicare clinics, assisting older adults with education and enrollment; added an additional SHIIP counselor in 2025 to expand support.</w:t>
      </w:r>
    </w:p>
    <w:p w14:paraId="10FC1774" w14:textId="77777777" w:rsidR="001F0AA2" w:rsidRPr="001F0AA2" w:rsidRDefault="001F0AA2" w:rsidP="001F0AA2">
      <w:pPr>
        <w:numPr>
          <w:ilvl w:val="0"/>
          <w:numId w:val="19"/>
        </w:numPr>
      </w:pPr>
      <w:r w:rsidRPr="001F0AA2">
        <w:t>Strengthen support for older adults through home health services, wellness programs, and weekly blood pressure clinics.</w:t>
      </w:r>
    </w:p>
    <w:p w14:paraId="321C7F01" w14:textId="3C2BBD5B" w:rsidR="001F0AA2" w:rsidRPr="001F0AA2" w:rsidRDefault="00EE589A" w:rsidP="001F0AA2">
      <w:pPr>
        <w:numPr>
          <w:ilvl w:val="0"/>
          <w:numId w:val="19"/>
        </w:numPr>
      </w:pPr>
      <w:r>
        <w:t>Continue</w:t>
      </w:r>
      <w:r w:rsidR="001F0AA2" w:rsidRPr="001F0AA2">
        <w:t xml:space="preserve"> the Healthy Kids Iowa initiative during summer 2025, providing educational resources, screenings, and preventive care outreach for children in the community.</w:t>
      </w:r>
    </w:p>
    <w:p w14:paraId="0A41163E" w14:textId="77777777" w:rsidR="001F0AA2" w:rsidRPr="001F0AA2" w:rsidRDefault="001F0AA2" w:rsidP="001F0AA2">
      <w:r w:rsidRPr="001F0AA2">
        <w:rPr>
          <w:b/>
          <w:bCs/>
        </w:rPr>
        <w:t>Measurable Outcomes:</w:t>
      </w:r>
    </w:p>
    <w:p w14:paraId="7DFF09EF" w14:textId="77777777" w:rsidR="001F0AA2" w:rsidRPr="001F0AA2" w:rsidRDefault="001F0AA2" w:rsidP="001F0AA2">
      <w:pPr>
        <w:numPr>
          <w:ilvl w:val="0"/>
          <w:numId w:val="20"/>
        </w:numPr>
      </w:pPr>
      <w:r w:rsidRPr="001F0AA2">
        <w:t>Increased food access and resource navigation for vulnerable populations.</w:t>
      </w:r>
    </w:p>
    <w:p w14:paraId="3C2D059E" w14:textId="77777777" w:rsidR="001F0AA2" w:rsidRPr="001F0AA2" w:rsidRDefault="001F0AA2" w:rsidP="001F0AA2">
      <w:pPr>
        <w:numPr>
          <w:ilvl w:val="0"/>
          <w:numId w:val="20"/>
        </w:numPr>
      </w:pPr>
      <w:r w:rsidRPr="001F0AA2">
        <w:t>Expanded Medicare counseling and enrollment support.</w:t>
      </w:r>
    </w:p>
    <w:p w14:paraId="1A7A6D51" w14:textId="173F9D4B" w:rsidR="001F0AA2" w:rsidRPr="001F0AA2" w:rsidRDefault="001F0AA2" w:rsidP="001F0AA2">
      <w:pPr>
        <w:numPr>
          <w:ilvl w:val="0"/>
          <w:numId w:val="20"/>
        </w:numPr>
      </w:pPr>
      <w:r w:rsidRPr="001F0AA2">
        <w:t>Improved child wellness awareness and preventive care participation.</w:t>
      </w:r>
    </w:p>
    <w:p w14:paraId="65C08554" w14:textId="77777777" w:rsidR="001F0AA2" w:rsidRPr="001F0AA2" w:rsidRDefault="001F0AA2" w:rsidP="001F0AA2">
      <w:pPr>
        <w:rPr>
          <w:b/>
          <w:bCs/>
        </w:rPr>
      </w:pPr>
      <w:r w:rsidRPr="001F0AA2">
        <w:rPr>
          <w:b/>
          <w:bCs/>
        </w:rPr>
        <w:t>Supporting Focus Areas</w:t>
      </w:r>
    </w:p>
    <w:p w14:paraId="25C7DD9B" w14:textId="77777777" w:rsidR="001F0AA2" w:rsidRPr="001F0AA2" w:rsidRDefault="001F0AA2" w:rsidP="001F0AA2">
      <w:r w:rsidRPr="001F0AA2">
        <w:rPr>
          <w:b/>
          <w:bCs/>
        </w:rPr>
        <w:t>Access to Care</w:t>
      </w:r>
    </w:p>
    <w:p w14:paraId="7F8D40F9" w14:textId="77777777" w:rsidR="001F0AA2" w:rsidRPr="001F0AA2" w:rsidRDefault="001F0AA2" w:rsidP="001F0AA2">
      <w:pPr>
        <w:numPr>
          <w:ilvl w:val="0"/>
          <w:numId w:val="21"/>
        </w:numPr>
      </w:pPr>
      <w:r w:rsidRPr="001F0AA2">
        <w:t>Expand same-day and acute appointment availability.</w:t>
      </w:r>
    </w:p>
    <w:p w14:paraId="69027D1A" w14:textId="77777777" w:rsidR="001F0AA2" w:rsidRPr="001F0AA2" w:rsidRDefault="001F0AA2" w:rsidP="001F0AA2">
      <w:pPr>
        <w:numPr>
          <w:ilvl w:val="0"/>
          <w:numId w:val="21"/>
        </w:numPr>
      </w:pPr>
      <w:r w:rsidRPr="001F0AA2">
        <w:t>Recruit and retain medical providers and specialists.</w:t>
      </w:r>
    </w:p>
    <w:p w14:paraId="1F8636F9" w14:textId="77777777" w:rsidR="001F0AA2" w:rsidRPr="001F0AA2" w:rsidRDefault="001F0AA2" w:rsidP="001F0AA2">
      <w:pPr>
        <w:numPr>
          <w:ilvl w:val="0"/>
          <w:numId w:val="21"/>
        </w:numPr>
      </w:pPr>
      <w:r w:rsidRPr="001F0AA2">
        <w:t>Improve scheduling and communication systems to enhance patient experience.</w:t>
      </w:r>
    </w:p>
    <w:p w14:paraId="7AF7B0D7" w14:textId="77777777" w:rsidR="001F0AA2" w:rsidRPr="001F0AA2" w:rsidRDefault="001F0AA2" w:rsidP="001F0AA2">
      <w:r w:rsidRPr="001F0AA2">
        <w:rPr>
          <w:b/>
          <w:bCs/>
        </w:rPr>
        <w:t>Community Outreach &amp; Health Literacy</w:t>
      </w:r>
    </w:p>
    <w:p w14:paraId="0B4825C4" w14:textId="77777777" w:rsidR="001F0AA2" w:rsidRPr="001F0AA2" w:rsidRDefault="001F0AA2" w:rsidP="001F0AA2">
      <w:pPr>
        <w:numPr>
          <w:ilvl w:val="0"/>
          <w:numId w:val="22"/>
        </w:numPr>
      </w:pPr>
      <w:r w:rsidRPr="001F0AA2">
        <w:t>Increase public awareness of services and how to access them.</w:t>
      </w:r>
    </w:p>
    <w:p w14:paraId="69DD74D7" w14:textId="77777777" w:rsidR="001F0AA2" w:rsidRPr="001F0AA2" w:rsidRDefault="001F0AA2" w:rsidP="001F0AA2">
      <w:pPr>
        <w:numPr>
          <w:ilvl w:val="0"/>
          <w:numId w:val="22"/>
        </w:numPr>
      </w:pPr>
      <w:r w:rsidRPr="001F0AA2">
        <w:t>Offer workshops, educational events, and printed materials in plain language.</w:t>
      </w:r>
    </w:p>
    <w:p w14:paraId="6FD8557D" w14:textId="77777777" w:rsidR="001F0AA2" w:rsidRPr="001F0AA2" w:rsidRDefault="001F0AA2" w:rsidP="001F0AA2">
      <w:pPr>
        <w:numPr>
          <w:ilvl w:val="0"/>
          <w:numId w:val="22"/>
        </w:numPr>
      </w:pPr>
      <w:r w:rsidRPr="001F0AA2">
        <w:t>Promote equitable access across all demographics.</w:t>
      </w:r>
    </w:p>
    <w:p w14:paraId="59548023" w14:textId="77777777" w:rsidR="001F0AA2" w:rsidRPr="001F0AA2" w:rsidRDefault="001F0AA2" w:rsidP="001F0AA2">
      <w:r w:rsidRPr="001F0AA2">
        <w:rPr>
          <w:b/>
          <w:bCs/>
        </w:rPr>
        <w:t>Senior and Vulnerable Population Support</w:t>
      </w:r>
    </w:p>
    <w:p w14:paraId="19C4B5EE" w14:textId="77777777" w:rsidR="001F0AA2" w:rsidRPr="001F0AA2" w:rsidRDefault="001F0AA2" w:rsidP="001F0AA2">
      <w:pPr>
        <w:numPr>
          <w:ilvl w:val="0"/>
          <w:numId w:val="23"/>
        </w:numPr>
      </w:pPr>
      <w:r w:rsidRPr="001F0AA2">
        <w:lastRenderedPageBreak/>
        <w:t>Enhance home health and wellness services.</w:t>
      </w:r>
    </w:p>
    <w:p w14:paraId="2A841E90" w14:textId="77777777" w:rsidR="001F0AA2" w:rsidRPr="001F0AA2" w:rsidRDefault="001F0AA2" w:rsidP="001F0AA2">
      <w:pPr>
        <w:numPr>
          <w:ilvl w:val="0"/>
          <w:numId w:val="23"/>
        </w:numPr>
      </w:pPr>
      <w:r w:rsidRPr="001F0AA2">
        <w:t>Address financial, housing, and social isolation challenges.</w:t>
      </w:r>
    </w:p>
    <w:p w14:paraId="29954F82" w14:textId="77777777" w:rsidR="001F0AA2" w:rsidRPr="001F0AA2" w:rsidRDefault="001F0AA2" w:rsidP="001F0AA2">
      <w:pPr>
        <w:numPr>
          <w:ilvl w:val="0"/>
          <w:numId w:val="23"/>
        </w:numPr>
      </w:pPr>
      <w:r w:rsidRPr="001F0AA2">
        <w:t>Strengthen partnerships to support daily living and caregiving resources.</w:t>
      </w:r>
    </w:p>
    <w:p w14:paraId="123FC547" w14:textId="5C97F165" w:rsidR="001F0AA2" w:rsidRPr="001F0AA2" w:rsidRDefault="001F0AA2" w:rsidP="001F0AA2">
      <w:r w:rsidRPr="001F0AA2">
        <w:rPr>
          <w:b/>
          <w:bCs/>
        </w:rPr>
        <w:t>Partnerships and Collaboration</w:t>
      </w:r>
      <w:r w:rsidRPr="001F0AA2">
        <w:br/>
        <w:t>VGH continues to collaborate with Benton County Public Health, local schools, community organizations, nonprofits, and civic leaders. These partnerships strengthen implementation by combining expertise, resources, and community reach.</w:t>
      </w:r>
    </w:p>
    <w:p w14:paraId="337FEBCB" w14:textId="77777777" w:rsidR="001F0AA2" w:rsidRPr="001F0AA2" w:rsidRDefault="001F0AA2" w:rsidP="001F0AA2">
      <w:pPr>
        <w:rPr>
          <w:b/>
          <w:bCs/>
        </w:rPr>
      </w:pPr>
      <w:r w:rsidRPr="001F0AA2">
        <w:rPr>
          <w:b/>
          <w:bCs/>
        </w:rPr>
        <w:t>Monitoring and Evaluation</w:t>
      </w:r>
    </w:p>
    <w:p w14:paraId="4D858AA9" w14:textId="77777777" w:rsidR="001F0AA2" w:rsidRPr="001F0AA2" w:rsidRDefault="001F0AA2" w:rsidP="001F0AA2">
      <w:r w:rsidRPr="001F0AA2">
        <w:t>VGH will track progress through measurable outcomes, including:</w:t>
      </w:r>
    </w:p>
    <w:p w14:paraId="17254CEA" w14:textId="77777777" w:rsidR="001F0AA2" w:rsidRPr="001F0AA2" w:rsidRDefault="001F0AA2" w:rsidP="001F0AA2">
      <w:pPr>
        <w:numPr>
          <w:ilvl w:val="0"/>
          <w:numId w:val="24"/>
        </w:numPr>
      </w:pPr>
      <w:r w:rsidRPr="001F0AA2">
        <w:t>Service utilization rates (mental health visits, chronic disease screenings, substance use treatment).</w:t>
      </w:r>
    </w:p>
    <w:p w14:paraId="0D04667B" w14:textId="77777777" w:rsidR="001F0AA2" w:rsidRPr="001F0AA2" w:rsidRDefault="001F0AA2" w:rsidP="001F0AA2">
      <w:pPr>
        <w:numPr>
          <w:ilvl w:val="0"/>
          <w:numId w:val="24"/>
        </w:numPr>
      </w:pPr>
      <w:r w:rsidRPr="001F0AA2">
        <w:t>Community engagement metrics (participation in Healthy Kids Iowa, SHIIP clinics, educational events).</w:t>
      </w:r>
    </w:p>
    <w:p w14:paraId="7CDC3C5F" w14:textId="77777777" w:rsidR="001F0AA2" w:rsidRPr="001F0AA2" w:rsidRDefault="001F0AA2" w:rsidP="001F0AA2">
      <w:pPr>
        <w:numPr>
          <w:ilvl w:val="0"/>
          <w:numId w:val="24"/>
        </w:numPr>
      </w:pPr>
      <w:r w:rsidRPr="001F0AA2">
        <w:t>Health outcomes (screening rates, referrals completed, patient education uptake).</w:t>
      </w:r>
    </w:p>
    <w:p w14:paraId="60B10E51" w14:textId="4AB37AAA" w:rsidR="001F0AA2" w:rsidRPr="001F0AA2" w:rsidRDefault="001F0AA2" w:rsidP="001F0AA2">
      <w:r w:rsidRPr="001F0AA2">
        <w:t>Progress will be reviewed regularly, with adjustments made to strategies based on emerging needs and community feedback. Outcomes will be publicly shared to ensure transparency and maintain community trust.</w:t>
      </w:r>
    </w:p>
    <w:p w14:paraId="037F2554" w14:textId="77777777" w:rsidR="001F0AA2" w:rsidRPr="001F0AA2" w:rsidRDefault="001F0AA2" w:rsidP="001F0AA2">
      <w:pPr>
        <w:rPr>
          <w:b/>
          <w:bCs/>
        </w:rPr>
      </w:pPr>
      <w:r w:rsidRPr="001F0AA2">
        <w:rPr>
          <w:b/>
          <w:bCs/>
        </w:rPr>
        <w:t>Conclusion</w:t>
      </w:r>
    </w:p>
    <w:p w14:paraId="3FC7AA35" w14:textId="77777777" w:rsidR="001F0AA2" w:rsidRPr="001F0AA2" w:rsidRDefault="001F0AA2" w:rsidP="001F0AA2">
      <w:r w:rsidRPr="001F0AA2">
        <w:t>Virginia Gay Hospital remains committed to improving the health and well-being of Benton County residents. This Implementation Strategy demonstrates VGH’s ongoing dedication to evidence-based interventions, measurable progress, and meaningful collaboration with community partners. Through continued effort, innovation, and responsive care, VGH will advance health equity, preventive care, and overall quality of life for the community it has proudly served for over a century.</w:t>
      </w:r>
    </w:p>
    <w:p w14:paraId="66A70528" w14:textId="77777777" w:rsidR="005B4E9D" w:rsidRPr="001F0AA2" w:rsidRDefault="005B4E9D" w:rsidP="001F0AA2"/>
    <w:sectPr w:rsidR="005B4E9D" w:rsidRPr="001F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2F20"/>
    <w:multiLevelType w:val="multilevel"/>
    <w:tmpl w:val="1D8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E3E7D"/>
    <w:multiLevelType w:val="multilevel"/>
    <w:tmpl w:val="FCE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047A6"/>
    <w:multiLevelType w:val="multilevel"/>
    <w:tmpl w:val="F4B0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C16EE"/>
    <w:multiLevelType w:val="multilevel"/>
    <w:tmpl w:val="C58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B1CBE"/>
    <w:multiLevelType w:val="multilevel"/>
    <w:tmpl w:val="C33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9671B"/>
    <w:multiLevelType w:val="multilevel"/>
    <w:tmpl w:val="8C8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943D2"/>
    <w:multiLevelType w:val="multilevel"/>
    <w:tmpl w:val="0028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16399"/>
    <w:multiLevelType w:val="multilevel"/>
    <w:tmpl w:val="65D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417A8"/>
    <w:multiLevelType w:val="multilevel"/>
    <w:tmpl w:val="61A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E7B1E"/>
    <w:multiLevelType w:val="multilevel"/>
    <w:tmpl w:val="FA7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80B0A"/>
    <w:multiLevelType w:val="multilevel"/>
    <w:tmpl w:val="7A0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B3B0E"/>
    <w:multiLevelType w:val="multilevel"/>
    <w:tmpl w:val="B5AE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20D5D"/>
    <w:multiLevelType w:val="multilevel"/>
    <w:tmpl w:val="BFAC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235E7A"/>
    <w:multiLevelType w:val="multilevel"/>
    <w:tmpl w:val="8E0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B6018"/>
    <w:multiLevelType w:val="multilevel"/>
    <w:tmpl w:val="A3A0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B75FCC"/>
    <w:multiLevelType w:val="multilevel"/>
    <w:tmpl w:val="BE6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154E3"/>
    <w:multiLevelType w:val="multilevel"/>
    <w:tmpl w:val="AB20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721D7"/>
    <w:multiLevelType w:val="multilevel"/>
    <w:tmpl w:val="CFCA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6203E"/>
    <w:multiLevelType w:val="multilevel"/>
    <w:tmpl w:val="362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23549"/>
    <w:multiLevelType w:val="multilevel"/>
    <w:tmpl w:val="D766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B3FA9"/>
    <w:multiLevelType w:val="multilevel"/>
    <w:tmpl w:val="ED1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71426"/>
    <w:multiLevelType w:val="multilevel"/>
    <w:tmpl w:val="341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D25C97"/>
    <w:multiLevelType w:val="multilevel"/>
    <w:tmpl w:val="8A28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23337E"/>
    <w:multiLevelType w:val="multilevel"/>
    <w:tmpl w:val="41C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330214">
    <w:abstractNumId w:val="5"/>
  </w:num>
  <w:num w:numId="2" w16cid:durableId="1886600584">
    <w:abstractNumId w:val="13"/>
  </w:num>
  <w:num w:numId="3" w16cid:durableId="164591340">
    <w:abstractNumId w:val="10"/>
  </w:num>
  <w:num w:numId="4" w16cid:durableId="2037847869">
    <w:abstractNumId w:val="1"/>
  </w:num>
  <w:num w:numId="5" w16cid:durableId="1894804441">
    <w:abstractNumId w:val="4"/>
  </w:num>
  <w:num w:numId="6" w16cid:durableId="2043164675">
    <w:abstractNumId w:val="3"/>
  </w:num>
  <w:num w:numId="7" w16cid:durableId="302391794">
    <w:abstractNumId w:val="0"/>
  </w:num>
  <w:num w:numId="8" w16cid:durableId="1926987037">
    <w:abstractNumId w:val="22"/>
  </w:num>
  <w:num w:numId="9" w16cid:durableId="247544036">
    <w:abstractNumId w:val="2"/>
  </w:num>
  <w:num w:numId="10" w16cid:durableId="1383092968">
    <w:abstractNumId w:val="8"/>
  </w:num>
  <w:num w:numId="11" w16cid:durableId="1786609611">
    <w:abstractNumId w:val="16"/>
  </w:num>
  <w:num w:numId="12" w16cid:durableId="1981155043">
    <w:abstractNumId w:val="20"/>
  </w:num>
  <w:num w:numId="13" w16cid:durableId="1424841079">
    <w:abstractNumId w:val="7"/>
  </w:num>
  <w:num w:numId="14" w16cid:durableId="154033730">
    <w:abstractNumId w:val="18"/>
  </w:num>
  <w:num w:numId="15" w16cid:durableId="1420248997">
    <w:abstractNumId w:val="14"/>
  </w:num>
  <w:num w:numId="16" w16cid:durableId="875511263">
    <w:abstractNumId w:val="9"/>
  </w:num>
  <w:num w:numId="17" w16cid:durableId="240867982">
    <w:abstractNumId w:val="17"/>
  </w:num>
  <w:num w:numId="18" w16cid:durableId="1992296323">
    <w:abstractNumId w:val="11"/>
  </w:num>
  <w:num w:numId="19" w16cid:durableId="850493131">
    <w:abstractNumId w:val="12"/>
  </w:num>
  <w:num w:numId="20" w16cid:durableId="190187701">
    <w:abstractNumId w:val="21"/>
  </w:num>
  <w:num w:numId="21" w16cid:durableId="683358601">
    <w:abstractNumId w:val="6"/>
  </w:num>
  <w:num w:numId="22" w16cid:durableId="1512260871">
    <w:abstractNumId w:val="23"/>
  </w:num>
  <w:num w:numId="23" w16cid:durableId="1619026979">
    <w:abstractNumId w:val="15"/>
  </w:num>
  <w:num w:numId="24" w16cid:durableId="2783370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AA"/>
    <w:rsid w:val="000E02A7"/>
    <w:rsid w:val="001A048E"/>
    <w:rsid w:val="001F0AA2"/>
    <w:rsid w:val="00417D43"/>
    <w:rsid w:val="004334D1"/>
    <w:rsid w:val="00595EAA"/>
    <w:rsid w:val="005B4E9D"/>
    <w:rsid w:val="00640E7C"/>
    <w:rsid w:val="00935648"/>
    <w:rsid w:val="00AB4112"/>
    <w:rsid w:val="00AF550A"/>
    <w:rsid w:val="00B87FA3"/>
    <w:rsid w:val="00CC5E4A"/>
    <w:rsid w:val="00CD5CD0"/>
    <w:rsid w:val="00EE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CDD9"/>
  <w15:chartTrackingRefBased/>
  <w15:docId w15:val="{5969BFE4-759E-4D5C-A307-BD69EDF4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EAA"/>
    <w:rPr>
      <w:rFonts w:eastAsiaTheme="majorEastAsia" w:cstheme="majorBidi"/>
      <w:color w:val="272727" w:themeColor="text1" w:themeTint="D8"/>
    </w:rPr>
  </w:style>
  <w:style w:type="paragraph" w:styleId="Title">
    <w:name w:val="Title"/>
    <w:basedOn w:val="Normal"/>
    <w:next w:val="Normal"/>
    <w:link w:val="TitleChar"/>
    <w:uiPriority w:val="10"/>
    <w:qFormat/>
    <w:rsid w:val="0059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EAA"/>
    <w:pPr>
      <w:spacing w:before="160"/>
      <w:jc w:val="center"/>
    </w:pPr>
    <w:rPr>
      <w:i/>
      <w:iCs/>
      <w:color w:val="404040" w:themeColor="text1" w:themeTint="BF"/>
    </w:rPr>
  </w:style>
  <w:style w:type="character" w:customStyle="1" w:styleId="QuoteChar">
    <w:name w:val="Quote Char"/>
    <w:basedOn w:val="DefaultParagraphFont"/>
    <w:link w:val="Quote"/>
    <w:uiPriority w:val="29"/>
    <w:rsid w:val="00595EAA"/>
    <w:rPr>
      <w:i/>
      <w:iCs/>
      <w:color w:val="404040" w:themeColor="text1" w:themeTint="BF"/>
    </w:rPr>
  </w:style>
  <w:style w:type="paragraph" w:styleId="ListParagraph">
    <w:name w:val="List Paragraph"/>
    <w:basedOn w:val="Normal"/>
    <w:uiPriority w:val="34"/>
    <w:qFormat/>
    <w:rsid w:val="00595EAA"/>
    <w:pPr>
      <w:ind w:left="720"/>
      <w:contextualSpacing/>
    </w:pPr>
  </w:style>
  <w:style w:type="character" w:styleId="IntenseEmphasis">
    <w:name w:val="Intense Emphasis"/>
    <w:basedOn w:val="DefaultParagraphFont"/>
    <w:uiPriority w:val="21"/>
    <w:qFormat/>
    <w:rsid w:val="00595EAA"/>
    <w:rPr>
      <w:i/>
      <w:iCs/>
      <w:color w:val="0F4761" w:themeColor="accent1" w:themeShade="BF"/>
    </w:rPr>
  </w:style>
  <w:style w:type="paragraph" w:styleId="IntenseQuote">
    <w:name w:val="Intense Quote"/>
    <w:basedOn w:val="Normal"/>
    <w:next w:val="Normal"/>
    <w:link w:val="IntenseQuoteChar"/>
    <w:uiPriority w:val="30"/>
    <w:qFormat/>
    <w:rsid w:val="0059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EAA"/>
    <w:rPr>
      <w:i/>
      <w:iCs/>
      <w:color w:val="0F4761" w:themeColor="accent1" w:themeShade="BF"/>
    </w:rPr>
  </w:style>
  <w:style w:type="character" w:styleId="IntenseReference">
    <w:name w:val="Intense Reference"/>
    <w:basedOn w:val="DefaultParagraphFont"/>
    <w:uiPriority w:val="32"/>
    <w:qFormat/>
    <w:rsid w:val="00595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e10b9a-47e8-4359-b0bd-09da4e5346f1}" enabled="1" method="Standard" siteId="{670f5cff-6bc5-42bb-8216-a30f626a23d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 Cox</dc:creator>
  <cp:keywords/>
  <dc:description/>
  <cp:lastModifiedBy>Robin Martin</cp:lastModifiedBy>
  <cp:revision>2</cp:revision>
  <dcterms:created xsi:type="dcterms:W3CDTF">2025-12-18T19:13:00Z</dcterms:created>
  <dcterms:modified xsi:type="dcterms:W3CDTF">2025-12-18T19:13:00Z</dcterms:modified>
</cp:coreProperties>
</file>